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Biološki aktivni spojevi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527A2">
              <w:rPr>
                <w:rFonts w:asciiTheme="majorHAnsi" w:hAnsiTheme="majorHAnsi" w:cs="Arial"/>
                <w:b/>
                <w:sz w:val="18"/>
                <w:szCs w:val="18"/>
              </w:rPr>
              <w:t>BAK</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E4979">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E4979">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3404F1">
                    <w:rPr>
                      <w:rFonts w:asciiTheme="majorHAnsi" w:hAnsiTheme="majorHAnsi" w:cs="Arial"/>
                      <w:b/>
                      <w:sz w:val="18"/>
                      <w:szCs w:val="18"/>
                    </w:rPr>
                  </w:r>
                  <w:r w:rsidR="003404F1">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0C03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F527A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527A2">
              <w:rPr>
                <w:rFonts w:asciiTheme="majorHAnsi" w:hAnsiTheme="majorHAnsi" w:cs="Arial"/>
                <w:b/>
                <w:sz w:val="18"/>
                <w:szCs w:val="18"/>
              </w:rPr>
              <w:t>nema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D05D23" w:rsidP="00F527A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527A2">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Pr>
                <w:rFonts w:asciiTheme="majorHAnsi" w:hAnsiTheme="majorHAnsi"/>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F527A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Pr>
                <w:rFonts w:asciiTheme="majorHAnsi" w:hAnsiTheme="majorHAnsi" w:cs="Arial"/>
                <w:b/>
                <w:sz w:val="18"/>
                <w:szCs w:val="18"/>
              </w:rPr>
              <w:t>8</w:t>
            </w:r>
            <w:r w:rsidR="00F527A2">
              <w:rPr>
                <w:rFonts w:asciiTheme="majorHAnsi" w:hAnsiTheme="majorHAnsi" w:cs="Arial"/>
                <w:b/>
                <w:sz w:val="18"/>
                <w:szCs w:val="18"/>
              </w:rPr>
              <w:t>7,42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1E497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E4979">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F527A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Pr>
                <w:rFonts w:asciiTheme="majorHAnsi" w:hAnsiTheme="majorHAnsi" w:cs="Arial"/>
                <w:b/>
                <w:sz w:val="18"/>
                <w:szCs w:val="18"/>
              </w:rPr>
              <w:t>1</w:t>
            </w:r>
            <w:r w:rsidR="00F527A2">
              <w:rPr>
                <w:rFonts w:asciiTheme="majorHAnsi" w:hAnsiTheme="majorHAnsi" w:cs="Arial"/>
                <w:b/>
                <w:sz w:val="18"/>
                <w:szCs w:val="18"/>
              </w:rPr>
              <w:t>43,67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E4979" w:rsidRPr="001E4979">
              <w:rPr>
                <w:rFonts w:asciiTheme="majorHAnsi" w:hAnsiTheme="majorHAnsi" w:cs="Arial"/>
                <w:b/>
                <w:sz w:val="18"/>
                <w:szCs w:val="18"/>
              </w:rPr>
              <w:t>Prirodno-matematički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Hemija/Hemija/usmjerenje:Hemija okoline i kontrola kvaliteta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F527A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dr.sc.</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Majda Srabović,</w:t>
            </w:r>
            <w:r w:rsidR="00F527A2">
              <w:rPr>
                <w:rFonts w:asciiTheme="majorHAnsi" w:hAnsiTheme="majorHAnsi" w:cs="Arial"/>
                <w:b/>
                <w:sz w:val="18"/>
                <w:szCs w:val="18"/>
              </w:rPr>
              <w:t xml:space="preserve"> </w:t>
            </w:r>
            <w:r w:rsidR="009D70F3">
              <w:rPr>
                <w:rFonts w:asciiTheme="majorHAnsi" w:hAnsiTheme="majorHAnsi" w:cs="Arial"/>
                <w:b/>
                <w:sz w:val="18"/>
                <w:szCs w:val="18"/>
              </w:rPr>
              <w:t>red</w:t>
            </w:r>
            <w:r w:rsidR="00F527A2">
              <w:rPr>
                <w:rFonts w:asciiTheme="majorHAnsi" w:hAnsiTheme="majorHAnsi" w:cs="Arial"/>
                <w:b/>
                <w:sz w:val="18"/>
                <w:szCs w:val="18"/>
              </w:rPr>
              <w:t>ovni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Sticanje saznanja o biološkoj aktivnosti, strukturnim karakteristikama većine nutritivnih i polifenolnih spojeva. Upoznavanje studenata sa osnovnim principima sinteza bioaktivnih spojeva.</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Na kraju semestra/kursa uspješni studenti, koji su tokom čitavog nastavnog perioda kontinuirano obavljali svoje obaveze, će biti osposobljeni da samostalno teoretski obrazlože biološku aktivnost većine nutritivnih i fenolnih spojeva.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0C03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Značaj i podjela biološki aktivnih spojeva, najčešći izvori, strukture i najčešće funkcije prirodnih aktivnih spojeva. Nutritivne biološki aktivne tvari (lipidi, masti, ulja voskovi, fosfolipidi, sfingolipidi). Terpeni, biosinteza terpena, hemiterpeni,monoterpeni, alifatski monoterpeni, monociklički monoterpeni, biciklički monoterpeni, seskviterpeni, diterpeni, tetraterpeni. Biološki aktivni ugljikohidrati. Polifenoli- podjela fenolni</w:t>
            </w:r>
            <w:r w:rsidR="000C0354">
              <w:rPr>
                <w:rFonts w:asciiTheme="majorHAnsi" w:hAnsiTheme="majorHAnsi" w:cs="Arial"/>
                <w:b/>
                <w:sz w:val="18"/>
                <w:szCs w:val="18"/>
              </w:rPr>
              <w:t>h</w:t>
            </w:r>
            <w:r w:rsidR="001E4979" w:rsidRPr="001E4979">
              <w:rPr>
                <w:rFonts w:asciiTheme="majorHAnsi" w:hAnsiTheme="majorHAnsi" w:cs="Arial"/>
                <w:b/>
                <w:sz w:val="18"/>
                <w:szCs w:val="18"/>
              </w:rPr>
              <w:t xml:space="preserve"> spojev</w:t>
            </w:r>
            <w:r w:rsidR="000C0354">
              <w:rPr>
                <w:rFonts w:asciiTheme="majorHAnsi" w:hAnsiTheme="majorHAnsi" w:cs="Arial"/>
                <w:b/>
                <w:sz w:val="18"/>
                <w:szCs w:val="18"/>
              </w:rPr>
              <w:t xml:space="preserve">a </w:t>
            </w:r>
            <w:r w:rsidR="001E4979" w:rsidRPr="001E4979">
              <w:rPr>
                <w:rFonts w:asciiTheme="majorHAnsi" w:hAnsiTheme="majorHAnsi" w:cs="Arial"/>
                <w:b/>
                <w:sz w:val="18"/>
                <w:szCs w:val="18"/>
              </w:rPr>
              <w:t>(stilbeni,</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flavonoidi,</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fenolne kiseline, tanini). Hidroksicimetne kiseline (kumarinska, ferulinska,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kafeinska, sinapinska)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Hidroksibenzojeve kiseline (vanilinska,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hidroksibenzojeva, protokatehinska, siringinska,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galna).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Flavonoidi (antocijani, antoksantini).</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Fitoestrogeni- podjela (izoflavoni, kumestani,lignani).</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Glukani, dijetalna vlakna,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Beta-1,3/1,6 glukan.</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Biološka aktivnost beta glukana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Klasifikacija dijeta</w:t>
            </w:r>
            <w:r w:rsidR="000C0354">
              <w:rPr>
                <w:rFonts w:asciiTheme="majorHAnsi" w:hAnsiTheme="majorHAnsi" w:cs="Arial"/>
                <w:b/>
                <w:sz w:val="18"/>
                <w:szCs w:val="18"/>
              </w:rPr>
              <w:t>l</w:t>
            </w:r>
            <w:r w:rsidR="001E4979" w:rsidRPr="001E4979">
              <w:rPr>
                <w:rFonts w:asciiTheme="majorHAnsi" w:hAnsiTheme="majorHAnsi" w:cs="Arial"/>
                <w:b/>
                <w:sz w:val="18"/>
                <w:szCs w:val="18"/>
              </w:rPr>
              <w:t>nih vlakana.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Celuloza i njeni derivati- hemiceluloza, lignin,</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pektin, biljne gume i smole, inulin. Fiziološki i metabolički efekti dijetalnih vlakana. Derivati ksantina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(kofen, teofilin, teobromin).</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Sinteza derivata ksanitina.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Značaj,</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primjena, podjela i biološka aktivnost tanina.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Kondenzirani tanini (epigalokatehin (EGC)epikatehin-3-galat (ECG), epikatehin (EC),</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epigalokatehin-3-galat(EGCG). Kumarini</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(Umbeliferon, Bergapten, Skopoletin, Eskulin).</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Sinteze kumarina (Perkinova, Pechmannova,Knoevenagelova).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Derivati kumarina. Osobine i primjena. Biološka aktivnost kumarina i derivata.</w:t>
            </w:r>
            <w:r w:rsidR="000C0354">
              <w:rPr>
                <w:rFonts w:asciiTheme="majorHAnsi" w:hAnsiTheme="majorHAnsi" w:cs="Arial"/>
                <w:b/>
                <w:sz w:val="18"/>
                <w:szCs w:val="18"/>
              </w:rPr>
              <w:t xml:space="preserve"> </w:t>
            </w:r>
            <w:r w:rsidR="001E4979" w:rsidRPr="001E4979">
              <w:rPr>
                <w:rFonts w:asciiTheme="majorHAnsi" w:hAnsiTheme="majorHAnsi" w:cs="Arial"/>
                <w:b/>
                <w:sz w:val="18"/>
                <w:szCs w:val="18"/>
              </w:rPr>
              <w:t>Izoflavonidi soje (daidzein, genistein i glicitein). Koenzim Q10.</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0C035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U cilju efikasnog izvođenja nastave i postizanja očekivanih ciljeva kursa i kompetencija studenata na kraju semestra koriste se različite nastavne metode: - predavanja (P) uz upotrebu multimedijalnih sredstava, tehnika aktivnog učenja i uz aktivno učešće i diskusije studenata; -individualni seminarski radovi - konsultacije</w:t>
            </w:r>
            <w:r w:rsidR="000C0354">
              <w:rPr>
                <w:rFonts w:asciiTheme="majorHAnsi" w:hAnsiTheme="majorHAnsi" w:cs="Arial"/>
                <w:b/>
                <w:sz w:val="18"/>
                <w:szCs w:val="18"/>
              </w:rPr>
              <w:t>- laboratorijske vježbe</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E4979" w:rsidRDefault="00D05D23" w:rsidP="001E497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 xml:space="preserve">Testovi, seminarski, završni ispit, popravni i dodatni popravni ispit. U toku semestra studenti rade 2 testa, nakon svakih 21 odslušanih sati predavanja. Svaki test nosi maksimalno 25 bodova. Oba testa se rade u pismenoj formi. Svaki test sadrži zadatke i pitanja koji se odnose isključivo na pređeno gradivo između testova. Završni ispit je u pismenoj/usmenoj formi,  i nosi maksimalno 25 bodova. Student treba da odgovori na postavljena pitanja i zadatke iz svake oblasti pređene u okviru kursa. Popravni i dodatni popravni ispit se polaže po istom principu kao i završni ispit. Student je dužan u okviru predispitnih obaveza uraditi i izložiti seminarski rad koji nosi maksimalno 15 bodova. Nastavnik će tokom čitavog semestra na posebno kreiranom obrascu pratiti prisutnost svakog studenta.  </w:t>
            </w:r>
          </w:p>
          <w:p w:rsidR="001E4979" w:rsidRDefault="001E4979" w:rsidP="001E4979">
            <w:pPr>
              <w:pStyle w:val="NoSpacing"/>
              <w:rPr>
                <w:rFonts w:asciiTheme="majorHAnsi" w:hAnsiTheme="majorHAnsi" w:cs="Arial"/>
                <w:b/>
                <w:sz w:val="18"/>
                <w:szCs w:val="18"/>
              </w:rPr>
            </w:pP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 Kriterij                                  Maks. broj bodova            Bodovi za prolaz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Angažman na nastavi                 10                                  7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seminarski rad                             15                                  8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TEST I                                        </w:t>
            </w:r>
            <w:r>
              <w:rPr>
                <w:rFonts w:asciiTheme="majorHAnsi" w:hAnsiTheme="majorHAnsi" w:cs="Arial"/>
                <w:b/>
                <w:sz w:val="18"/>
                <w:szCs w:val="18"/>
              </w:rPr>
              <w:t xml:space="preserve">  </w:t>
            </w:r>
            <w:r w:rsidRPr="001E4979">
              <w:rPr>
                <w:rFonts w:asciiTheme="majorHAnsi" w:hAnsiTheme="majorHAnsi" w:cs="Arial"/>
                <w:b/>
                <w:sz w:val="18"/>
                <w:szCs w:val="18"/>
              </w:rPr>
              <w:t xml:space="preserve">     25                                 13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TEST II                                          </w:t>
            </w:r>
            <w:r>
              <w:rPr>
                <w:rFonts w:asciiTheme="majorHAnsi" w:hAnsiTheme="majorHAnsi" w:cs="Arial"/>
                <w:b/>
                <w:sz w:val="18"/>
                <w:szCs w:val="18"/>
              </w:rPr>
              <w:t xml:space="preserve"> </w:t>
            </w:r>
            <w:r w:rsidRPr="001E4979">
              <w:rPr>
                <w:rFonts w:asciiTheme="majorHAnsi" w:hAnsiTheme="majorHAnsi" w:cs="Arial"/>
                <w:b/>
                <w:sz w:val="18"/>
                <w:szCs w:val="18"/>
              </w:rPr>
              <w:t xml:space="preserve">  25                                 14 </w:t>
            </w:r>
          </w:p>
          <w:p w:rsidR="001E4979"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Završni ispit                                  25                                 13</w:t>
            </w:r>
          </w:p>
          <w:p w:rsidR="00CB72ED" w:rsidRPr="00B96B4F" w:rsidRDefault="001E4979" w:rsidP="001E4979">
            <w:pPr>
              <w:pStyle w:val="NoSpacing"/>
              <w:rPr>
                <w:rFonts w:asciiTheme="majorHAnsi" w:hAnsiTheme="majorHAnsi" w:cs="Arial"/>
                <w:b/>
                <w:sz w:val="18"/>
                <w:szCs w:val="18"/>
              </w:rPr>
            </w:pPr>
            <w:r w:rsidRPr="001E4979">
              <w:rPr>
                <w:rFonts w:asciiTheme="majorHAnsi" w:hAnsiTheme="majorHAnsi" w:cs="Arial"/>
                <w:b/>
                <w:sz w:val="18"/>
                <w:szCs w:val="18"/>
              </w:rPr>
              <w:t xml:space="preserve"> U k u p n o                                    100                                 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F527A2" w:rsidRPr="00F527A2" w:rsidRDefault="00D05D23" w:rsidP="00F527A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527A2" w:rsidRPr="00F527A2">
              <w:rPr>
                <w:rFonts w:asciiTheme="majorHAnsi" w:hAnsiTheme="majorHAnsi" w:cs="Arial"/>
                <w:b/>
                <w:sz w:val="18"/>
                <w:szCs w:val="18"/>
              </w:rPr>
              <w:t>Brojčana                Slovna</w:t>
            </w:r>
            <w:r w:rsidR="00F527A2" w:rsidRPr="00F527A2">
              <w:rPr>
                <w:rFonts w:asciiTheme="majorHAnsi" w:hAnsiTheme="majorHAnsi" w:cs="Arial"/>
                <w:b/>
                <w:sz w:val="18"/>
                <w:szCs w:val="18"/>
              </w:rPr>
              <w:tab/>
              <w:t xml:space="preserve">                                Opisna</w:t>
            </w:r>
            <w:r w:rsidR="00F527A2" w:rsidRPr="00F527A2">
              <w:rPr>
                <w:rFonts w:asciiTheme="majorHAnsi" w:hAnsiTheme="majorHAnsi" w:cs="Arial"/>
                <w:b/>
                <w:sz w:val="18"/>
                <w:szCs w:val="18"/>
              </w:rPr>
              <w:tab/>
              <w:t xml:space="preserve">                                                                        Bodovi</w:t>
            </w:r>
          </w:p>
          <w:p w:rsidR="00F527A2" w:rsidRPr="00F527A2" w:rsidRDefault="00F527A2" w:rsidP="00F527A2">
            <w:pPr>
              <w:pStyle w:val="NoSpacing"/>
              <w:rPr>
                <w:rFonts w:asciiTheme="majorHAnsi" w:hAnsiTheme="majorHAnsi" w:cs="Arial"/>
                <w:b/>
                <w:sz w:val="18"/>
                <w:szCs w:val="18"/>
              </w:rPr>
            </w:pPr>
            <w:r w:rsidRPr="00F527A2">
              <w:rPr>
                <w:rFonts w:asciiTheme="majorHAnsi" w:hAnsiTheme="majorHAnsi" w:cs="Arial"/>
                <w:b/>
                <w:sz w:val="18"/>
                <w:szCs w:val="18"/>
              </w:rPr>
              <w:t>10</w:t>
            </w:r>
            <w:r w:rsidRPr="00F527A2">
              <w:rPr>
                <w:rFonts w:asciiTheme="majorHAnsi" w:hAnsiTheme="majorHAnsi" w:cs="Arial"/>
                <w:b/>
                <w:sz w:val="18"/>
                <w:szCs w:val="18"/>
              </w:rPr>
              <w:tab/>
              <w:t xml:space="preserve">                      A</w:t>
            </w:r>
            <w:r w:rsidRPr="00F527A2">
              <w:rPr>
                <w:rFonts w:asciiTheme="majorHAnsi" w:hAnsiTheme="majorHAnsi" w:cs="Arial"/>
                <w:b/>
                <w:sz w:val="18"/>
                <w:szCs w:val="18"/>
              </w:rPr>
              <w:tab/>
              <w:t>Izuzetan uspjeh bez grešaka ili s neznatnim greškama</w:t>
            </w:r>
            <w:r w:rsidRPr="00F527A2">
              <w:rPr>
                <w:rFonts w:asciiTheme="majorHAnsi" w:hAnsiTheme="majorHAnsi" w:cs="Arial"/>
                <w:b/>
                <w:sz w:val="18"/>
                <w:szCs w:val="18"/>
              </w:rPr>
              <w:tab/>
              <w:t>95-100</w:t>
            </w:r>
          </w:p>
          <w:p w:rsidR="00F527A2" w:rsidRPr="00F527A2" w:rsidRDefault="00F527A2" w:rsidP="00F527A2">
            <w:pPr>
              <w:pStyle w:val="NoSpacing"/>
              <w:rPr>
                <w:rFonts w:asciiTheme="majorHAnsi" w:hAnsiTheme="majorHAnsi" w:cs="Arial"/>
                <w:b/>
                <w:sz w:val="18"/>
                <w:szCs w:val="18"/>
              </w:rPr>
            </w:pPr>
            <w:r w:rsidRPr="00F527A2">
              <w:rPr>
                <w:rFonts w:asciiTheme="majorHAnsi" w:hAnsiTheme="majorHAnsi" w:cs="Arial"/>
                <w:b/>
                <w:sz w:val="18"/>
                <w:szCs w:val="18"/>
              </w:rPr>
              <w:t>9</w:t>
            </w:r>
            <w:r w:rsidRPr="00F527A2">
              <w:rPr>
                <w:rFonts w:asciiTheme="majorHAnsi" w:hAnsiTheme="majorHAnsi" w:cs="Arial"/>
                <w:b/>
                <w:sz w:val="18"/>
                <w:szCs w:val="18"/>
              </w:rPr>
              <w:tab/>
              <w:t xml:space="preserve">                      B</w:t>
            </w:r>
            <w:r w:rsidRPr="00F527A2">
              <w:rPr>
                <w:rFonts w:asciiTheme="majorHAnsi" w:hAnsiTheme="majorHAnsi" w:cs="Arial"/>
                <w:b/>
                <w:sz w:val="18"/>
                <w:szCs w:val="18"/>
              </w:rPr>
              <w:tab/>
              <w:t>Iznad prosjeka, s ponekom greškom</w:t>
            </w:r>
            <w:r w:rsidRPr="00F527A2">
              <w:rPr>
                <w:rFonts w:asciiTheme="majorHAnsi" w:hAnsiTheme="majorHAnsi" w:cs="Arial"/>
                <w:b/>
                <w:sz w:val="18"/>
                <w:szCs w:val="18"/>
              </w:rPr>
              <w:tab/>
              <w:t xml:space="preserve">                                    85-94</w:t>
            </w:r>
          </w:p>
          <w:p w:rsidR="00F527A2" w:rsidRPr="00F527A2" w:rsidRDefault="00F527A2" w:rsidP="00F527A2">
            <w:pPr>
              <w:pStyle w:val="NoSpacing"/>
              <w:rPr>
                <w:rFonts w:asciiTheme="majorHAnsi" w:hAnsiTheme="majorHAnsi" w:cs="Arial"/>
                <w:b/>
                <w:sz w:val="18"/>
                <w:szCs w:val="18"/>
              </w:rPr>
            </w:pPr>
            <w:r w:rsidRPr="00F527A2">
              <w:rPr>
                <w:rFonts w:asciiTheme="majorHAnsi" w:hAnsiTheme="majorHAnsi" w:cs="Arial"/>
                <w:b/>
                <w:sz w:val="18"/>
                <w:szCs w:val="18"/>
              </w:rPr>
              <w:t>8</w:t>
            </w:r>
            <w:r w:rsidRPr="00F527A2">
              <w:rPr>
                <w:rFonts w:asciiTheme="majorHAnsi" w:hAnsiTheme="majorHAnsi" w:cs="Arial"/>
                <w:b/>
                <w:sz w:val="18"/>
                <w:szCs w:val="18"/>
              </w:rPr>
              <w:tab/>
              <w:t xml:space="preserve">                      C</w:t>
            </w:r>
            <w:r w:rsidRPr="00F527A2">
              <w:rPr>
                <w:rFonts w:asciiTheme="majorHAnsi" w:hAnsiTheme="majorHAnsi" w:cs="Arial"/>
                <w:b/>
                <w:sz w:val="18"/>
                <w:szCs w:val="18"/>
              </w:rPr>
              <w:tab/>
              <w:t>Prosječan, s primjetnim greškama</w:t>
            </w:r>
            <w:r w:rsidRPr="00F527A2">
              <w:rPr>
                <w:rFonts w:asciiTheme="majorHAnsi" w:hAnsiTheme="majorHAnsi" w:cs="Arial"/>
                <w:b/>
                <w:sz w:val="18"/>
                <w:szCs w:val="18"/>
              </w:rPr>
              <w:tab/>
              <w:t xml:space="preserve">                                                      75-84</w:t>
            </w:r>
          </w:p>
          <w:p w:rsidR="00F527A2" w:rsidRPr="00F527A2" w:rsidRDefault="00F527A2" w:rsidP="00F527A2">
            <w:pPr>
              <w:pStyle w:val="NoSpacing"/>
              <w:rPr>
                <w:rFonts w:asciiTheme="majorHAnsi" w:hAnsiTheme="majorHAnsi" w:cs="Arial"/>
                <w:b/>
                <w:sz w:val="18"/>
                <w:szCs w:val="18"/>
              </w:rPr>
            </w:pPr>
            <w:r w:rsidRPr="00F527A2">
              <w:rPr>
                <w:rFonts w:asciiTheme="majorHAnsi" w:hAnsiTheme="majorHAnsi" w:cs="Arial"/>
                <w:b/>
                <w:sz w:val="18"/>
                <w:szCs w:val="18"/>
              </w:rPr>
              <w:t>7</w:t>
            </w:r>
            <w:r w:rsidRPr="00F527A2">
              <w:rPr>
                <w:rFonts w:asciiTheme="majorHAnsi" w:hAnsiTheme="majorHAnsi" w:cs="Arial"/>
                <w:b/>
                <w:sz w:val="18"/>
                <w:szCs w:val="18"/>
              </w:rPr>
              <w:tab/>
              <w:t xml:space="preserve">                      D</w:t>
            </w:r>
            <w:r w:rsidRPr="00F527A2">
              <w:rPr>
                <w:rFonts w:asciiTheme="majorHAnsi" w:hAnsiTheme="majorHAnsi" w:cs="Arial"/>
                <w:b/>
                <w:sz w:val="18"/>
                <w:szCs w:val="18"/>
              </w:rPr>
              <w:tab/>
              <w:t>Općenito dobar, ali sa značajnim nedostacima</w:t>
            </w:r>
            <w:r w:rsidRPr="00F527A2">
              <w:rPr>
                <w:rFonts w:asciiTheme="majorHAnsi" w:hAnsiTheme="majorHAnsi" w:cs="Arial"/>
                <w:b/>
                <w:sz w:val="18"/>
                <w:szCs w:val="18"/>
              </w:rPr>
              <w:tab/>
              <w:t xml:space="preserve">                  65-74</w:t>
            </w:r>
          </w:p>
          <w:p w:rsidR="00F527A2" w:rsidRPr="00F527A2" w:rsidRDefault="00F527A2" w:rsidP="00F527A2">
            <w:pPr>
              <w:pStyle w:val="NoSpacing"/>
              <w:rPr>
                <w:rFonts w:asciiTheme="majorHAnsi" w:hAnsiTheme="majorHAnsi" w:cs="Arial"/>
                <w:b/>
                <w:sz w:val="18"/>
                <w:szCs w:val="18"/>
              </w:rPr>
            </w:pPr>
            <w:r w:rsidRPr="00F527A2">
              <w:rPr>
                <w:rFonts w:asciiTheme="majorHAnsi" w:hAnsiTheme="majorHAnsi" w:cs="Arial"/>
                <w:b/>
                <w:sz w:val="18"/>
                <w:szCs w:val="18"/>
              </w:rPr>
              <w:t>6</w:t>
            </w:r>
            <w:r w:rsidRPr="00F527A2">
              <w:rPr>
                <w:rFonts w:asciiTheme="majorHAnsi" w:hAnsiTheme="majorHAnsi" w:cs="Arial"/>
                <w:b/>
                <w:sz w:val="18"/>
                <w:szCs w:val="18"/>
              </w:rPr>
              <w:tab/>
              <w:t xml:space="preserve">                      E</w:t>
            </w:r>
            <w:r w:rsidRPr="00F527A2">
              <w:rPr>
                <w:rFonts w:asciiTheme="majorHAnsi" w:hAnsiTheme="majorHAnsi" w:cs="Arial"/>
                <w:b/>
                <w:sz w:val="18"/>
                <w:szCs w:val="18"/>
              </w:rPr>
              <w:tab/>
              <w:t>Zadovoljava minimalne kriterije</w:t>
            </w:r>
            <w:r w:rsidRPr="00F527A2">
              <w:rPr>
                <w:rFonts w:asciiTheme="majorHAnsi" w:hAnsiTheme="majorHAnsi" w:cs="Arial"/>
                <w:b/>
                <w:sz w:val="18"/>
                <w:szCs w:val="18"/>
              </w:rPr>
              <w:tab/>
              <w:t xml:space="preserve">                                                      55-64</w:t>
            </w:r>
          </w:p>
          <w:p w:rsidR="00CB72ED" w:rsidRPr="00B96B4F" w:rsidRDefault="00F527A2" w:rsidP="00F527A2">
            <w:pPr>
              <w:pStyle w:val="NoSpacing"/>
              <w:rPr>
                <w:rFonts w:asciiTheme="majorHAnsi" w:hAnsiTheme="majorHAnsi" w:cs="Arial"/>
                <w:b/>
                <w:sz w:val="18"/>
                <w:szCs w:val="18"/>
              </w:rPr>
            </w:pPr>
            <w:r w:rsidRPr="00F527A2">
              <w:rPr>
                <w:rFonts w:asciiTheme="majorHAnsi" w:hAnsiTheme="majorHAnsi" w:cs="Arial"/>
                <w:b/>
                <w:sz w:val="18"/>
                <w:szCs w:val="18"/>
              </w:rPr>
              <w:t>5</w:t>
            </w:r>
            <w:r w:rsidRPr="00F527A2">
              <w:rPr>
                <w:rFonts w:asciiTheme="majorHAnsi" w:hAnsiTheme="majorHAnsi" w:cs="Arial"/>
                <w:b/>
                <w:sz w:val="18"/>
                <w:szCs w:val="18"/>
              </w:rPr>
              <w:tab/>
              <w:t xml:space="preserve">                   F,FX</w:t>
            </w:r>
            <w:r w:rsidRPr="00F527A2">
              <w:rPr>
                <w:rFonts w:asciiTheme="majorHAnsi" w:hAnsiTheme="majorHAnsi" w:cs="Arial"/>
                <w:b/>
                <w:sz w:val="18"/>
                <w:szCs w:val="18"/>
              </w:rPr>
              <w:tab/>
              <w:t>Ne zadovoljava minimalne kriterije</w:t>
            </w:r>
            <w:r w:rsidRPr="00F527A2">
              <w:rPr>
                <w:rFonts w:asciiTheme="majorHAnsi" w:hAnsiTheme="majorHAnsi" w:cs="Arial"/>
                <w:b/>
                <w:sz w:val="18"/>
                <w:szCs w:val="18"/>
              </w:rPr>
              <w:tab/>
              <w:t xml:space="preserve">                                     &lt;55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E4979"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 xml:space="preserve">M.Huremovic, M.srabović, Z.Ademović,E.Huseinović, A.Taletović,Hemija prirodnih organskih jedinjenja2017 M.Srabović, M.Huremović, M.Salihović, Hemija heterocikličnih jedninjenja, 2022 </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E.Grotewold, The Science of Flavonoids, Springer , 2006(pdf) </w:t>
            </w:r>
          </w:p>
          <w:p w:rsidR="00CB72ED" w:rsidRPr="00B96B4F" w:rsidRDefault="001E4979">
            <w:pPr>
              <w:pStyle w:val="NoSpacing"/>
              <w:rPr>
                <w:rFonts w:asciiTheme="majorHAnsi" w:hAnsiTheme="majorHAnsi" w:cs="Arial"/>
                <w:b/>
                <w:sz w:val="18"/>
                <w:szCs w:val="18"/>
              </w:rPr>
            </w:pPr>
            <w:r w:rsidRPr="001E4979">
              <w:rPr>
                <w:rFonts w:asciiTheme="majorHAnsi" w:hAnsiTheme="majorHAnsi" w:cs="Arial"/>
                <w:b/>
                <w:sz w:val="18"/>
                <w:szCs w:val="18"/>
              </w:rPr>
              <w:t>ØM. Andersen, K.R. Markham, Flavonoids Chemistry, Biochemistry and Applications, CRC, 2006 (pdf)</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E4979" w:rsidRDefault="00D05D23">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E4979" w:rsidRPr="001E4979">
              <w:rPr>
                <w:rFonts w:asciiTheme="majorHAnsi" w:hAnsiTheme="majorHAnsi" w:cs="Arial"/>
                <w:b/>
                <w:sz w:val="18"/>
                <w:szCs w:val="18"/>
              </w:rPr>
              <w:t>Kampulainen, J.T., Salonen, J.T. (1998). Natural antioxidants and anticarcinogens in nutrition, health and disease.</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Royal Society of Chemistry </w:t>
            </w:r>
          </w:p>
          <w:p w:rsidR="001E4979" w:rsidRDefault="001E4979">
            <w:pPr>
              <w:pStyle w:val="NoSpacing"/>
              <w:rPr>
                <w:rFonts w:asciiTheme="majorHAnsi" w:hAnsiTheme="majorHAnsi" w:cs="Arial"/>
                <w:b/>
                <w:sz w:val="18"/>
                <w:szCs w:val="18"/>
              </w:rPr>
            </w:pPr>
            <w:r w:rsidRPr="001E4979">
              <w:rPr>
                <w:rFonts w:asciiTheme="majorHAnsi" w:hAnsiTheme="majorHAnsi" w:cs="Arial"/>
                <w:b/>
                <w:sz w:val="18"/>
                <w:szCs w:val="18"/>
              </w:rPr>
              <w:t xml:space="preserve">L.A. Rosa, E.A. Parrilla, G.A.Gonzalez, Fruit and Vegetable Phytochemicals, Chemistry, Nutritional Value and Stability, Wiley Blackwell, 1.ed. 2010. </w:t>
            </w:r>
          </w:p>
          <w:p w:rsidR="00CB72ED" w:rsidRPr="00B96B4F" w:rsidRDefault="001E4979">
            <w:pPr>
              <w:pStyle w:val="NoSpacing"/>
              <w:rPr>
                <w:rFonts w:asciiTheme="majorHAnsi" w:hAnsiTheme="majorHAnsi" w:cs="Arial"/>
                <w:b/>
                <w:sz w:val="18"/>
                <w:szCs w:val="18"/>
              </w:rPr>
            </w:pPr>
            <w:r w:rsidRPr="001E4979">
              <w:rPr>
                <w:rFonts w:asciiTheme="majorHAnsi" w:hAnsiTheme="majorHAnsi" w:cs="Arial"/>
                <w:b/>
                <w:sz w:val="18"/>
                <w:szCs w:val="18"/>
              </w:rPr>
              <w:t>Pridham J.B., Phenolics in Plants in Health and Disease, Pergamon Press, New York</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E9243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E4979">
              <w:rPr>
                <w:rFonts w:asciiTheme="majorHAnsi" w:hAnsiTheme="majorHAnsi" w:cs="Arial"/>
                <w:b/>
                <w:sz w:val="18"/>
                <w:szCs w:val="18"/>
              </w:rPr>
              <w:t>202</w:t>
            </w:r>
            <w:r w:rsidR="00E92433">
              <w:rPr>
                <w:rFonts w:asciiTheme="majorHAnsi" w:hAnsiTheme="majorHAnsi" w:cs="Arial"/>
                <w:b/>
                <w:sz w:val="18"/>
                <w:szCs w:val="18"/>
              </w:rPr>
              <w:t>6</w:t>
            </w:r>
            <w:r w:rsidR="001E4979">
              <w:rPr>
                <w:rFonts w:asciiTheme="majorHAnsi" w:hAnsiTheme="majorHAnsi" w:cs="Arial"/>
                <w:b/>
                <w:sz w:val="18"/>
                <w:szCs w:val="18"/>
              </w:rPr>
              <w:t>/2</w:t>
            </w:r>
            <w:r w:rsidR="00E92433">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D05D23">
            <w:pPr>
              <w:pStyle w:val="NoSpacing"/>
              <w:jc w:val="center"/>
              <w:rPr>
                <w:rFonts w:asciiTheme="majorHAnsi" w:hAnsiTheme="majorHAnsi" w:cs="Arial"/>
                <w:b/>
                <w:sz w:val="18"/>
                <w:szCs w:val="18"/>
              </w:rPr>
            </w:pPr>
            <w:r w:rsidRPr="00F527A2">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F527A2">
              <w:rPr>
                <w:rFonts w:asciiTheme="majorHAnsi" w:hAnsiTheme="majorHAnsi" w:cs="Arial"/>
                <w:b/>
                <w:sz w:val="18"/>
                <w:szCs w:val="18"/>
              </w:rPr>
            </w:r>
            <w:r w:rsidRPr="00F527A2">
              <w:rPr>
                <w:rFonts w:asciiTheme="majorHAnsi" w:hAnsiTheme="majorHAnsi" w:cs="Arial"/>
                <w:b/>
                <w:sz w:val="18"/>
                <w:szCs w:val="18"/>
              </w:rPr>
              <w:fldChar w:fldCharType="separate"/>
            </w:r>
            <w:r w:rsidR="00FB48B6" w:rsidRPr="000C0354">
              <w:rPr>
                <w:rFonts w:asciiTheme="majorHAnsi" w:hAnsiTheme="majorHAnsi" w:cs="Arial"/>
                <w:b/>
                <w:spacing w:val="216"/>
                <w:sz w:val="18"/>
                <w:szCs w:val="18"/>
              </w:rPr>
              <w:t>    </w:t>
            </w:r>
            <w:r w:rsidR="00FB48B6" w:rsidRPr="000C0354">
              <w:rPr>
                <w:rFonts w:asciiTheme="majorHAnsi" w:hAnsiTheme="majorHAnsi" w:cs="Arial"/>
                <w:b/>
                <w:spacing w:val="-1"/>
                <w:sz w:val="18"/>
                <w:szCs w:val="18"/>
              </w:rPr>
              <w:t> </w:t>
            </w:r>
            <w:r w:rsidRPr="000C0354">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4F1" w:rsidRDefault="003404F1">
      <w:pPr>
        <w:spacing w:line="240" w:lineRule="auto"/>
      </w:pPr>
      <w:r>
        <w:separator/>
      </w:r>
    </w:p>
  </w:endnote>
  <w:endnote w:type="continuationSeparator" w:id="0">
    <w:p w:rsidR="003404F1" w:rsidRDefault="003404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trPr>
        <w:trHeight w:val="445"/>
      </w:trPr>
      <w:tc>
        <w:tcPr>
          <w:tcW w:w="1470" w:type="dxa"/>
          <w:tcMar>
            <w:top w:w="28" w:type="dxa"/>
          </w:tcMar>
        </w:tcPr>
        <w:p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0C0354">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0C0354">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0C0354">
            <w:rPr>
              <w:rFonts w:ascii="Cambria" w:hAnsi="Cambria" w:cs="Calibri"/>
              <w:noProof/>
              <w:sz w:val="16"/>
              <w:szCs w:val="16"/>
            </w:rPr>
            <w:t>3</w:t>
          </w:r>
          <w:r w:rsidR="00D05D2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4F1" w:rsidRDefault="003404F1">
      <w:pPr>
        <w:spacing w:after="0"/>
      </w:pPr>
      <w:r>
        <w:separator/>
      </w:r>
    </w:p>
  </w:footnote>
  <w:footnote w:type="continuationSeparator" w:id="0">
    <w:p w:rsidR="003404F1" w:rsidRDefault="003404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C0354"/>
    <w:rsid w:val="000D073D"/>
    <w:rsid w:val="000D46E0"/>
    <w:rsid w:val="000E50E7"/>
    <w:rsid w:val="000E51F8"/>
    <w:rsid w:val="000F3BAD"/>
    <w:rsid w:val="000F7C9B"/>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E4979"/>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4F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87EEA"/>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9F8"/>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0F3"/>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B7E8E"/>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2723A"/>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92433"/>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0A3D"/>
    <w:rsid w:val="00F12E3E"/>
    <w:rsid w:val="00F15264"/>
    <w:rsid w:val="00F2055F"/>
    <w:rsid w:val="00F22194"/>
    <w:rsid w:val="00F30C75"/>
    <w:rsid w:val="00F5229F"/>
    <w:rsid w:val="00F527A2"/>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452405-9F1E-4AC7-8107-A2EDC11BC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872BC-1BA9-416C-97D2-23AFE0D78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Microsoft account</cp:lastModifiedBy>
  <cp:revision>9</cp:revision>
  <cp:lastPrinted>2024-03-19T08:24:00Z</cp:lastPrinted>
  <dcterms:created xsi:type="dcterms:W3CDTF">2026-03-06T07:55:00Z</dcterms:created>
  <dcterms:modified xsi:type="dcterms:W3CDTF">2026-04-29T09:59:00Z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